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06"/>
        <w:gridCol w:w="5249"/>
        <w:gridCol w:w="3426"/>
      </w:tblGrid>
      <w:tr w:rsidR="00DF3658" w:rsidRPr="004A5399" w:rsidTr="003159B5">
        <w:trPr>
          <w:cantSplit/>
          <w:trHeight w:val="260"/>
        </w:trPr>
        <w:tc>
          <w:tcPr>
            <w:tcW w:w="10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658" w:rsidRPr="004A5399" w:rsidRDefault="00DF3658" w:rsidP="003159B5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Pediatric Clerkship Clinical Encounters</w:t>
            </w:r>
          </w:p>
          <w:p w:rsidR="00DF3658" w:rsidRPr="004A5399" w:rsidRDefault="00DF3658" w:rsidP="003159B5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F3658" w:rsidRPr="004A5399" w:rsidTr="003159B5">
        <w:trPr>
          <w:trHeight w:val="638"/>
        </w:trPr>
        <w:tc>
          <w:tcPr>
            <w:tcW w:w="1606" w:type="dxa"/>
            <w:tcBorders>
              <w:top w:val="single" w:sz="4" w:space="0" w:color="auto"/>
            </w:tcBorders>
          </w:tcPr>
          <w:p w:rsidR="00DF3658" w:rsidRPr="004A5399" w:rsidRDefault="00DF3658" w:rsidP="003159B5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b/>
                <w:sz w:val="20"/>
                <w:szCs w:val="20"/>
              </w:rPr>
              <w:t>Domain-patient type/core condition</w:t>
            </w:r>
          </w:p>
        </w:tc>
        <w:tc>
          <w:tcPr>
            <w:tcW w:w="5249" w:type="dxa"/>
            <w:tcBorders>
              <w:top w:val="single" w:sz="4" w:space="0" w:color="auto"/>
            </w:tcBorders>
          </w:tcPr>
          <w:p w:rsidR="00DF3658" w:rsidRPr="004A5399" w:rsidRDefault="00DF3658" w:rsidP="003159B5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b/>
                <w:sz w:val="20"/>
                <w:szCs w:val="20"/>
              </w:rPr>
              <w:t>Diagnosis or issue addressed</w:t>
            </w:r>
          </w:p>
        </w:tc>
        <w:tc>
          <w:tcPr>
            <w:tcW w:w="3426" w:type="dxa"/>
            <w:tcBorders>
              <w:top w:val="single" w:sz="4" w:space="0" w:color="auto"/>
            </w:tcBorders>
          </w:tcPr>
          <w:p w:rsidR="00DF3658" w:rsidRPr="004A5399" w:rsidRDefault="00DF3658" w:rsidP="003159B5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b/>
                <w:sz w:val="20"/>
                <w:szCs w:val="20"/>
              </w:rPr>
              <w:t>AQUIFER CASES THAT COVER THIS TOPIC</w:t>
            </w:r>
          </w:p>
        </w:tc>
      </w:tr>
      <w:tr w:rsidR="00DF3658" w:rsidRPr="004A5399" w:rsidTr="003159B5">
        <w:trPr>
          <w:trHeight w:val="435"/>
        </w:trPr>
        <w:tc>
          <w:tcPr>
            <w:tcW w:w="160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Health Maintenance</w:t>
            </w:r>
          </w:p>
        </w:tc>
        <w:tc>
          <w:tcPr>
            <w:tcW w:w="5249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Various issues related to newborn, infant, toddler, child and adolescent</w:t>
            </w:r>
          </w:p>
        </w:tc>
        <w:tc>
          <w:tcPr>
            <w:tcW w:w="342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AQUIFER case 2,3,4,5</w:t>
            </w:r>
          </w:p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F3658" w:rsidRPr="004A5399" w:rsidTr="003159B5">
        <w:trPr>
          <w:trHeight w:val="80"/>
        </w:trPr>
        <w:tc>
          <w:tcPr>
            <w:tcW w:w="160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Growth</w:t>
            </w:r>
          </w:p>
        </w:tc>
        <w:tc>
          <w:tcPr>
            <w:tcW w:w="5249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FTT, poor weight gain, obesity, short stature, microcephaly, macrocephaly, constitutional delay, small for gestational age, large for gestational age</w:t>
            </w:r>
          </w:p>
        </w:tc>
        <w:tc>
          <w:tcPr>
            <w:tcW w:w="342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AQUIFER case 16, 26</w:t>
            </w:r>
          </w:p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F3658" w:rsidRPr="004A5399" w:rsidTr="003159B5">
        <w:trPr>
          <w:trHeight w:val="80"/>
        </w:trPr>
        <w:tc>
          <w:tcPr>
            <w:tcW w:w="160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Nutrition</w:t>
            </w:r>
          </w:p>
        </w:tc>
        <w:tc>
          <w:tcPr>
            <w:tcW w:w="5249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FTT, breast vs formula feeding, questions about switching to formula, when to add solids, beginning cow's milk, diet</w:t>
            </w:r>
          </w:p>
        </w:tc>
        <w:tc>
          <w:tcPr>
            <w:tcW w:w="342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AQUIFER case 2, 8,16, 26</w:t>
            </w:r>
          </w:p>
        </w:tc>
      </w:tr>
      <w:tr w:rsidR="00DF3658" w:rsidRPr="004A5399" w:rsidTr="003159B5">
        <w:trPr>
          <w:trHeight w:val="80"/>
        </w:trPr>
        <w:tc>
          <w:tcPr>
            <w:tcW w:w="160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Development</w:t>
            </w:r>
          </w:p>
        </w:tc>
        <w:tc>
          <w:tcPr>
            <w:tcW w:w="5249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Delayed or possibly delayed language, gross motor, fine motor, or social adaptive skills, Denver II screening test</w:t>
            </w:r>
          </w:p>
        </w:tc>
        <w:tc>
          <w:tcPr>
            <w:tcW w:w="342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AQUIFER case 28, 29</w:t>
            </w:r>
          </w:p>
        </w:tc>
      </w:tr>
      <w:tr w:rsidR="00DF3658" w:rsidRPr="004A5399" w:rsidTr="003159B5">
        <w:trPr>
          <w:trHeight w:val="162"/>
        </w:trPr>
        <w:tc>
          <w:tcPr>
            <w:tcW w:w="160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Behavior</w:t>
            </w:r>
          </w:p>
        </w:tc>
        <w:tc>
          <w:tcPr>
            <w:tcW w:w="5249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Sleep problems, colic, temper tantrums, toilet training, feeding problems, enuresis, ADHD, encopresis, autistic spectrum disorder, eating disorders, head banging, poor school performance</w:t>
            </w:r>
          </w:p>
        </w:tc>
        <w:tc>
          <w:tcPr>
            <w:tcW w:w="342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AQUIFER case 4</w:t>
            </w:r>
          </w:p>
        </w:tc>
      </w:tr>
      <w:tr w:rsidR="00DF3658" w:rsidRPr="004A5399" w:rsidTr="003159B5">
        <w:trPr>
          <w:trHeight w:val="108"/>
        </w:trPr>
        <w:tc>
          <w:tcPr>
            <w:tcW w:w="160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Upper respiratory tract</w:t>
            </w:r>
          </w:p>
        </w:tc>
        <w:tc>
          <w:tcPr>
            <w:tcW w:w="5249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 xml:space="preserve">Pharyngitis, strep throat, viral URI, </w:t>
            </w:r>
            <w:proofErr w:type="spellStart"/>
            <w:r w:rsidRPr="004A5399">
              <w:rPr>
                <w:rFonts w:asciiTheme="minorHAnsi" w:hAnsiTheme="minorHAnsi" w:cs="Calibri"/>
                <w:sz w:val="20"/>
                <w:szCs w:val="20"/>
              </w:rPr>
              <w:t>herpangina</w:t>
            </w:r>
            <w:proofErr w:type="spellEnd"/>
            <w:r w:rsidRPr="004A5399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proofErr w:type="spellStart"/>
            <w:r w:rsidRPr="004A5399">
              <w:rPr>
                <w:rFonts w:asciiTheme="minorHAnsi" w:hAnsiTheme="minorHAnsi" w:cs="Calibri"/>
                <w:sz w:val="20"/>
                <w:szCs w:val="20"/>
              </w:rPr>
              <w:t>peritonsillar</w:t>
            </w:r>
            <w:proofErr w:type="spellEnd"/>
            <w:r w:rsidRPr="004A5399">
              <w:rPr>
                <w:rFonts w:asciiTheme="minorHAnsi" w:hAnsiTheme="minorHAnsi" w:cs="Calibri"/>
                <w:sz w:val="20"/>
                <w:szCs w:val="20"/>
              </w:rPr>
              <w:t xml:space="preserve"> abscess, common cold, allergic rhinitis, otitis media, sinusitis, otitis externa</w:t>
            </w:r>
          </w:p>
        </w:tc>
        <w:tc>
          <w:tcPr>
            <w:tcW w:w="342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AQUIFER case 14</w:t>
            </w:r>
          </w:p>
        </w:tc>
      </w:tr>
      <w:tr w:rsidR="00DF3658" w:rsidRPr="004A5399" w:rsidTr="003159B5">
        <w:trPr>
          <w:trHeight w:val="498"/>
        </w:trPr>
        <w:tc>
          <w:tcPr>
            <w:tcW w:w="160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Lower respiratory tract</w:t>
            </w:r>
          </w:p>
        </w:tc>
        <w:tc>
          <w:tcPr>
            <w:tcW w:w="5249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Bronchiolitis, bronchitis, pneumonia, aspiration, asthma, bronchiectasis</w:t>
            </w:r>
          </w:p>
        </w:tc>
        <w:tc>
          <w:tcPr>
            <w:tcW w:w="342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AQUIFER case 12, 13</w:t>
            </w:r>
          </w:p>
        </w:tc>
      </w:tr>
      <w:tr w:rsidR="00DF3658" w:rsidRPr="004A5399" w:rsidTr="003159B5">
        <w:trPr>
          <w:trHeight w:val="80"/>
        </w:trPr>
        <w:tc>
          <w:tcPr>
            <w:tcW w:w="160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Gastrointestinal tract</w:t>
            </w:r>
          </w:p>
        </w:tc>
        <w:tc>
          <w:tcPr>
            <w:tcW w:w="5249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Gastroenteritis, Giardiasis, pyloric stenosis, appendicitis, Henoch-</w:t>
            </w:r>
            <w:proofErr w:type="spellStart"/>
            <w:r w:rsidRPr="004A5399">
              <w:rPr>
                <w:rFonts w:asciiTheme="minorHAnsi" w:hAnsiTheme="minorHAnsi" w:cs="Calibri"/>
                <w:sz w:val="20"/>
                <w:szCs w:val="20"/>
              </w:rPr>
              <w:t>Schonlein</w:t>
            </w:r>
            <w:proofErr w:type="spellEnd"/>
            <w:r w:rsidRPr="004A5399">
              <w:rPr>
                <w:rFonts w:asciiTheme="minorHAnsi" w:hAnsiTheme="minorHAnsi" w:cs="Calibri"/>
                <w:sz w:val="20"/>
                <w:szCs w:val="20"/>
              </w:rPr>
              <w:t xml:space="preserve"> Purpura, peptic ulcer disease, gastroesophageal reflux disease</w:t>
            </w:r>
          </w:p>
        </w:tc>
        <w:tc>
          <w:tcPr>
            <w:tcW w:w="342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AQUIFER case 15, 21, 27</w:t>
            </w:r>
          </w:p>
        </w:tc>
      </w:tr>
      <w:tr w:rsidR="00DF3658" w:rsidRPr="004A5399" w:rsidTr="003159B5">
        <w:trPr>
          <w:trHeight w:val="90"/>
        </w:trPr>
        <w:tc>
          <w:tcPr>
            <w:tcW w:w="160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Dermatologic system</w:t>
            </w:r>
          </w:p>
        </w:tc>
        <w:tc>
          <w:tcPr>
            <w:tcW w:w="5249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 xml:space="preserve">Viral rash, </w:t>
            </w:r>
            <w:proofErr w:type="spellStart"/>
            <w:r w:rsidRPr="004A5399">
              <w:rPr>
                <w:rFonts w:asciiTheme="minorHAnsi" w:hAnsiTheme="minorHAnsi" w:cs="Calibri"/>
                <w:sz w:val="20"/>
                <w:szCs w:val="20"/>
              </w:rPr>
              <w:t>scarlatina</w:t>
            </w:r>
            <w:proofErr w:type="spellEnd"/>
            <w:r w:rsidRPr="004A5399">
              <w:rPr>
                <w:rFonts w:asciiTheme="minorHAnsi" w:hAnsiTheme="minorHAnsi" w:cs="Calibri"/>
                <w:sz w:val="20"/>
                <w:szCs w:val="20"/>
              </w:rPr>
              <w:t xml:space="preserve">, eczema, </w:t>
            </w:r>
            <w:proofErr w:type="spellStart"/>
            <w:r w:rsidRPr="004A5399">
              <w:rPr>
                <w:rFonts w:asciiTheme="minorHAnsi" w:hAnsiTheme="minorHAnsi" w:cs="Calibri"/>
                <w:sz w:val="20"/>
                <w:szCs w:val="20"/>
              </w:rPr>
              <w:t>urticaria</w:t>
            </w:r>
            <w:proofErr w:type="spellEnd"/>
            <w:r w:rsidRPr="004A5399">
              <w:rPr>
                <w:rFonts w:asciiTheme="minorHAnsi" w:hAnsiTheme="minorHAnsi" w:cs="Calibri"/>
                <w:sz w:val="20"/>
                <w:szCs w:val="20"/>
              </w:rPr>
              <w:t>, contact dermatitis, toxic shock, thrush, atopic dermatitis, seborrheic dermatitis, acne, anemia</w:t>
            </w:r>
          </w:p>
        </w:tc>
        <w:tc>
          <w:tcPr>
            <w:tcW w:w="342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AQUIFER case 3, 11, 21</w:t>
            </w:r>
          </w:p>
        </w:tc>
      </w:tr>
      <w:tr w:rsidR="00DF3658" w:rsidRPr="004A5399" w:rsidTr="003159B5">
        <w:trPr>
          <w:trHeight w:val="80"/>
        </w:trPr>
        <w:tc>
          <w:tcPr>
            <w:tcW w:w="160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Central nervous system</w:t>
            </w:r>
          </w:p>
        </w:tc>
        <w:tc>
          <w:tcPr>
            <w:tcW w:w="5249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Meningitis, concussion, seizures, ataxia, closed head injury, headache</w:t>
            </w:r>
          </w:p>
        </w:tc>
        <w:tc>
          <w:tcPr>
            <w:tcW w:w="342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i/>
                <w:iCs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AQUIFER case 19, 20, 25</w:t>
            </w:r>
          </w:p>
        </w:tc>
      </w:tr>
      <w:tr w:rsidR="00DF3658" w:rsidRPr="004A5399" w:rsidTr="003159B5">
        <w:trPr>
          <w:trHeight w:val="80"/>
        </w:trPr>
        <w:tc>
          <w:tcPr>
            <w:tcW w:w="160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Emergent clinical problem</w:t>
            </w:r>
          </w:p>
        </w:tc>
        <w:tc>
          <w:tcPr>
            <w:tcW w:w="5249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 xml:space="preserve">Meningitis, shock, testicular torsion, diabetic ketoacidosis, acute life threatening event (ALTE), congestive heart failure, burns, status </w:t>
            </w:r>
            <w:proofErr w:type="spellStart"/>
            <w:r w:rsidRPr="004A5399">
              <w:rPr>
                <w:rFonts w:asciiTheme="minorHAnsi" w:hAnsiTheme="minorHAnsi" w:cs="Calibri"/>
                <w:sz w:val="20"/>
                <w:szCs w:val="20"/>
              </w:rPr>
              <w:t>asthmaticus</w:t>
            </w:r>
            <w:proofErr w:type="spellEnd"/>
            <w:r w:rsidRPr="004A5399">
              <w:rPr>
                <w:rFonts w:asciiTheme="minorHAnsi" w:hAnsiTheme="minorHAnsi" w:cs="Calibri"/>
                <w:sz w:val="20"/>
                <w:szCs w:val="20"/>
              </w:rPr>
              <w:t>, status epilepticus, encephalitis, child abuse, etc.</w:t>
            </w:r>
          </w:p>
        </w:tc>
        <w:tc>
          <w:tcPr>
            <w:tcW w:w="342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AQUIFER cases 16, 23, 24, 25</w:t>
            </w:r>
          </w:p>
        </w:tc>
      </w:tr>
      <w:tr w:rsidR="00DF3658" w:rsidRPr="004A5399" w:rsidTr="003159B5">
        <w:trPr>
          <w:trHeight w:val="570"/>
        </w:trPr>
        <w:tc>
          <w:tcPr>
            <w:tcW w:w="160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Chronic medical problem</w:t>
            </w:r>
          </w:p>
        </w:tc>
        <w:tc>
          <w:tcPr>
            <w:tcW w:w="5249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 xml:space="preserve">Seasonal allergies, asthma, cerebral palsy, cystic fibrosis, diabetes mellitus, malignancy (e.g. acute lymphocytic leukemia or Wilms tumor), sickle cell disease, epilepsy, atopic dermatitis, obesity, sensory impairment, HIV/AIDS </w:t>
            </w:r>
          </w:p>
        </w:tc>
        <w:tc>
          <w:tcPr>
            <w:tcW w:w="342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AQUIFER case 13, 26, 28, 30</w:t>
            </w:r>
          </w:p>
        </w:tc>
      </w:tr>
      <w:tr w:rsidR="00DF3658" w:rsidRPr="004A5399" w:rsidTr="003159B5">
        <w:trPr>
          <w:trHeight w:val="498"/>
        </w:trPr>
        <w:tc>
          <w:tcPr>
            <w:tcW w:w="160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Unique condition: fever without localizing findings</w:t>
            </w:r>
          </w:p>
        </w:tc>
        <w:tc>
          <w:tcPr>
            <w:tcW w:w="5249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Rule out sepsis; urinary tract infection, systemic viral infection (e.g. EBV), autoimmune diseases</w:t>
            </w:r>
          </w:p>
        </w:tc>
        <w:tc>
          <w:tcPr>
            <w:tcW w:w="3426" w:type="dxa"/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AQUIFER case 10</w:t>
            </w:r>
          </w:p>
        </w:tc>
      </w:tr>
      <w:tr w:rsidR="00DF3658" w:rsidRPr="004A5399" w:rsidTr="003159B5">
        <w:trPr>
          <w:trHeight w:val="462"/>
        </w:trPr>
        <w:tc>
          <w:tcPr>
            <w:tcW w:w="1606" w:type="dxa"/>
            <w:tcBorders>
              <w:bottom w:val="single" w:sz="4" w:space="0" w:color="auto"/>
            </w:tcBorders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Unique condition: neonatal jaundice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Rule out sepsis; ABO incompatibility; breast-feeding jaundice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DF3658" w:rsidRPr="004A5399" w:rsidRDefault="00DF3658" w:rsidP="003159B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4A5399">
              <w:rPr>
                <w:rFonts w:asciiTheme="minorHAnsi" w:hAnsiTheme="minorHAnsi" w:cs="Calibri"/>
                <w:sz w:val="20"/>
                <w:szCs w:val="20"/>
              </w:rPr>
              <w:t>AQUIFER case 8</w:t>
            </w:r>
          </w:p>
        </w:tc>
      </w:tr>
    </w:tbl>
    <w:p w:rsidR="00DF3658" w:rsidRPr="004A5399" w:rsidRDefault="00DF3658" w:rsidP="00DF3658">
      <w:pPr>
        <w:rPr>
          <w:rFonts w:asciiTheme="minorHAnsi" w:eastAsiaTheme="minorEastAsia" w:hAnsiTheme="minorHAnsi"/>
          <w:sz w:val="20"/>
          <w:szCs w:val="20"/>
          <w:lang w:eastAsia="zh-CN"/>
        </w:rPr>
      </w:pPr>
    </w:p>
    <w:p w:rsidR="00DF3658" w:rsidRDefault="00DF3658" w:rsidP="00DF3658">
      <w:pPr>
        <w:rPr>
          <w:rFonts w:asciiTheme="minorHAnsi" w:hAnsiTheme="minorHAnsi" w:cs="Arial"/>
          <w:b/>
          <w:sz w:val="20"/>
          <w:szCs w:val="20"/>
        </w:rPr>
      </w:pPr>
    </w:p>
    <w:p w:rsidR="00B35475" w:rsidRDefault="00B35475">
      <w:bookmarkStart w:id="0" w:name="_GoBack"/>
      <w:bookmarkEnd w:id="0"/>
    </w:p>
    <w:sectPr w:rsidR="00B35475" w:rsidSect="00DF3658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58"/>
    <w:rsid w:val="00B35475"/>
    <w:rsid w:val="00D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8027E-8801-4486-9C54-C92925E5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sgrif3</dc:creator>
  <cp:keywords/>
  <dc:description/>
  <cp:lastModifiedBy>sgrif3</cp:lastModifiedBy>
  <cp:revision>1</cp:revision>
  <dcterms:created xsi:type="dcterms:W3CDTF">2019-03-28T22:34:00Z</dcterms:created>
  <dcterms:modified xsi:type="dcterms:W3CDTF">2019-03-28T22:34:00Z</dcterms:modified>
</cp:coreProperties>
</file>